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6F" w:rsidRPr="003C7F6F" w:rsidRDefault="003C7F6F" w:rsidP="003C7F6F">
      <w:pPr>
        <w:shd w:val="clear" w:color="auto" w:fill="FFFFFF"/>
        <w:spacing w:before="389" w:after="389" w:line="701" w:lineRule="atLeast"/>
        <w:outlineLvl w:val="0"/>
        <w:rPr>
          <w:rFonts w:ascii="Arial" w:eastAsia="Times New Roman" w:hAnsi="Arial" w:cs="Arial"/>
          <w:b/>
          <w:bCs/>
          <w:color w:val="282828"/>
          <w:kern w:val="36"/>
          <w:sz w:val="58"/>
          <w:szCs w:val="58"/>
          <w:lang w:val="en-US" w:eastAsia="ru-RU"/>
        </w:rPr>
      </w:pPr>
      <w:r w:rsidRPr="003C7F6F">
        <w:rPr>
          <w:rFonts w:ascii="Arial" w:eastAsia="Times New Roman" w:hAnsi="Arial" w:cs="Arial"/>
          <w:b/>
          <w:bCs/>
          <w:color w:val="282828"/>
          <w:kern w:val="36"/>
          <w:sz w:val="58"/>
          <w:szCs w:val="58"/>
          <w:lang w:eastAsia="ru-RU"/>
        </w:rPr>
        <w:t>Қазақстан президентінің халыққа Жолдауы-2018: Толық нұсқа</w:t>
      </w:r>
    </w:p>
    <w:p w:rsidR="003C7F6F" w:rsidRPr="003C7F6F" w:rsidRDefault="003C7F6F" w:rsidP="003C7F6F">
      <w:pPr>
        <w:pStyle w:val="aa"/>
        <w:rPr>
          <w:lang w:val="en-US" w:eastAsia="ru-RU"/>
        </w:rPr>
      </w:pPr>
      <w:hyperlink r:id="rId5" w:history="1">
        <w:r w:rsidRPr="003C7F6F">
          <w:rPr>
            <w:color w:val="005D9A"/>
            <w:u w:val="single"/>
            <w:lang w:val="en-US" w:eastAsia="ru-RU"/>
          </w:rPr>
          <w:t>Stan.kz</w:t>
        </w:r>
      </w:hyperlink>
      <w:r w:rsidRPr="003C7F6F">
        <w:rPr>
          <w:lang w:val="en-US" w:eastAsia="ru-RU"/>
        </w:rPr>
        <w:t> </w:t>
      </w:r>
      <w:r w:rsidRPr="003C7F6F">
        <w:rPr>
          <w:lang w:eastAsia="ru-RU"/>
        </w:rPr>
        <w:t>назарлары</w:t>
      </w:r>
      <w:r w:rsidRPr="003C7F6F">
        <w:rPr>
          <w:rFonts w:ascii="Arial" w:hAnsi="Arial" w:cs="Arial"/>
          <w:lang w:eastAsia="ru-RU"/>
        </w:rPr>
        <w:t>ң</w:t>
      </w:r>
      <w:r w:rsidRPr="003C7F6F">
        <w:rPr>
          <w:rFonts w:ascii="Calibri" w:hAnsi="Calibri" w:cs="Calibri"/>
          <w:lang w:eastAsia="ru-RU"/>
        </w:rPr>
        <w:t>ыз</w:t>
      </w:r>
      <w:r w:rsidRPr="003C7F6F">
        <w:rPr>
          <w:rFonts w:ascii="Arial" w:hAnsi="Arial" w:cs="Arial"/>
          <w:lang w:eastAsia="ru-RU"/>
        </w:rPr>
        <w:t>ғ</w:t>
      </w:r>
      <w:r w:rsidRPr="003C7F6F">
        <w:rPr>
          <w:rFonts w:ascii="Calibri" w:hAnsi="Calibri" w:cs="Calibri"/>
          <w:lang w:eastAsia="ru-RU"/>
        </w:rPr>
        <w:t>а</w:t>
      </w:r>
      <w:r w:rsidRPr="003C7F6F">
        <w:rPr>
          <w:lang w:val="en-US" w:eastAsia="ru-RU"/>
        </w:rPr>
        <w:t xml:space="preserve"> 2018 </w:t>
      </w:r>
      <w:r w:rsidRPr="003C7F6F">
        <w:rPr>
          <w:lang w:eastAsia="ru-RU"/>
        </w:rPr>
        <w:t>жылды</w:t>
      </w:r>
      <w:r w:rsidRPr="003C7F6F">
        <w:rPr>
          <w:rFonts w:ascii="Arial" w:hAnsi="Arial" w:cs="Arial"/>
          <w:lang w:eastAsia="ru-RU"/>
        </w:rPr>
        <w:t>ң</w:t>
      </w:r>
      <w:r w:rsidRPr="003C7F6F">
        <w:rPr>
          <w:lang w:val="en-US" w:eastAsia="ru-RU"/>
        </w:rPr>
        <w:t xml:space="preserve"> 10 </w:t>
      </w:r>
      <w:r w:rsidRPr="003C7F6F">
        <w:rPr>
          <w:rFonts w:ascii="Arial" w:hAnsi="Arial" w:cs="Arial"/>
          <w:lang w:eastAsia="ru-RU"/>
        </w:rPr>
        <w:t>қ</w:t>
      </w:r>
      <w:r w:rsidRPr="003C7F6F">
        <w:rPr>
          <w:rFonts w:ascii="Calibri" w:hAnsi="Calibri" w:cs="Calibri"/>
          <w:lang w:eastAsia="ru-RU"/>
        </w:rPr>
        <w:t>а</w:t>
      </w:r>
      <w:r w:rsidRPr="003C7F6F">
        <w:rPr>
          <w:rFonts w:ascii="Arial" w:hAnsi="Arial" w:cs="Arial"/>
          <w:lang w:eastAsia="ru-RU"/>
        </w:rPr>
        <w:t>ң</w:t>
      </w:r>
      <w:r w:rsidRPr="003C7F6F">
        <w:rPr>
          <w:rFonts w:ascii="Calibri" w:hAnsi="Calibri" w:cs="Calibri"/>
          <w:lang w:eastAsia="ru-RU"/>
        </w:rPr>
        <w:t>тарында</w:t>
      </w:r>
      <w:r w:rsidRPr="003C7F6F">
        <w:rPr>
          <w:lang w:val="en-US" w:eastAsia="ru-RU"/>
        </w:rPr>
        <w:t xml:space="preserve"> </w:t>
      </w:r>
      <w:r w:rsidRPr="003C7F6F">
        <w:rPr>
          <w:lang w:eastAsia="ru-RU"/>
        </w:rPr>
        <w:t>жариялан</w:t>
      </w:r>
      <w:r w:rsidRPr="003C7F6F">
        <w:rPr>
          <w:rFonts w:ascii="Arial" w:hAnsi="Arial" w:cs="Arial"/>
          <w:lang w:eastAsia="ru-RU"/>
        </w:rPr>
        <w:t>ғ</w:t>
      </w:r>
      <w:r w:rsidRPr="003C7F6F">
        <w:rPr>
          <w:rFonts w:ascii="Calibri" w:hAnsi="Calibri" w:cs="Calibri"/>
          <w:lang w:eastAsia="ru-RU"/>
        </w:rPr>
        <w:t>ан</w:t>
      </w:r>
      <w:r w:rsidRPr="003C7F6F">
        <w:rPr>
          <w:lang w:val="en-US" w:eastAsia="ru-RU"/>
        </w:rPr>
        <w:t xml:space="preserve"> </w:t>
      </w:r>
      <w:r w:rsidRPr="003C7F6F">
        <w:rPr>
          <w:lang w:eastAsia="ru-RU"/>
        </w:rPr>
        <w:t>Н</w:t>
      </w:r>
      <w:r w:rsidRPr="003C7F6F">
        <w:rPr>
          <w:rFonts w:ascii="Arial" w:hAnsi="Arial" w:cs="Arial"/>
          <w:lang w:eastAsia="ru-RU"/>
        </w:rPr>
        <w:t>ұ</w:t>
      </w:r>
      <w:r w:rsidRPr="003C7F6F">
        <w:rPr>
          <w:rFonts w:ascii="Calibri" w:hAnsi="Calibri" w:cs="Calibri"/>
          <w:lang w:eastAsia="ru-RU"/>
        </w:rPr>
        <w:t>рс</w:t>
      </w:r>
      <w:r w:rsidRPr="003C7F6F">
        <w:rPr>
          <w:rFonts w:ascii="Arial" w:hAnsi="Arial" w:cs="Arial"/>
          <w:lang w:eastAsia="ru-RU"/>
        </w:rPr>
        <w:t>ұ</w:t>
      </w:r>
      <w:r w:rsidRPr="003C7F6F">
        <w:rPr>
          <w:rFonts w:ascii="Calibri" w:hAnsi="Calibri" w:cs="Calibri"/>
          <w:lang w:eastAsia="ru-RU"/>
        </w:rPr>
        <w:t>лтан</w:t>
      </w:r>
      <w:r w:rsidRPr="003C7F6F">
        <w:rPr>
          <w:lang w:val="en-US" w:eastAsia="ru-RU"/>
        </w:rPr>
        <w:t xml:space="preserve"> </w:t>
      </w:r>
      <w:r w:rsidRPr="003C7F6F">
        <w:rPr>
          <w:lang w:eastAsia="ru-RU"/>
        </w:rPr>
        <w:t>Назарбаевты</w:t>
      </w:r>
      <w:r w:rsidRPr="003C7F6F">
        <w:rPr>
          <w:rFonts w:ascii="Arial" w:hAnsi="Arial" w:cs="Arial"/>
          <w:lang w:eastAsia="ru-RU"/>
        </w:rPr>
        <w:t>ң</w:t>
      </w:r>
      <w:r w:rsidRPr="003C7F6F">
        <w:rPr>
          <w:lang w:val="en-US" w:eastAsia="ru-RU"/>
        </w:rPr>
        <w:t xml:space="preserve"> “</w:t>
      </w:r>
      <w:r w:rsidRPr="003C7F6F">
        <w:rPr>
          <w:lang w:eastAsia="ru-RU"/>
        </w:rPr>
        <w:t>Т</w:t>
      </w:r>
      <w:r w:rsidRPr="003C7F6F">
        <w:rPr>
          <w:rFonts w:ascii="Arial" w:hAnsi="Arial" w:cs="Arial"/>
          <w:lang w:eastAsia="ru-RU"/>
        </w:rPr>
        <w:t>ө</w:t>
      </w:r>
      <w:r w:rsidRPr="003C7F6F">
        <w:rPr>
          <w:rFonts w:ascii="Calibri" w:hAnsi="Calibri" w:cs="Calibri"/>
          <w:lang w:eastAsia="ru-RU"/>
        </w:rPr>
        <w:t>ртінші</w:t>
      </w:r>
      <w:r w:rsidRPr="003C7F6F">
        <w:rPr>
          <w:lang w:val="en-US" w:eastAsia="ru-RU"/>
        </w:rPr>
        <w:t xml:space="preserve"> </w:t>
      </w:r>
      <w:r w:rsidRPr="003C7F6F">
        <w:rPr>
          <w:rFonts w:ascii="Arial" w:hAnsi="Arial" w:cs="Arial"/>
          <w:lang w:eastAsia="ru-RU"/>
        </w:rPr>
        <w:t>ө</w:t>
      </w:r>
      <w:r w:rsidRPr="003C7F6F">
        <w:rPr>
          <w:rFonts w:ascii="Calibri" w:hAnsi="Calibri" w:cs="Calibri"/>
          <w:lang w:eastAsia="ru-RU"/>
        </w:rPr>
        <w:t>нерк</w:t>
      </w:r>
      <w:r w:rsidRPr="003C7F6F">
        <w:rPr>
          <w:rFonts w:ascii="Arial" w:hAnsi="Arial" w:cs="Arial"/>
          <w:lang w:eastAsia="ru-RU"/>
        </w:rPr>
        <w:t>ә</w:t>
      </w:r>
      <w:r w:rsidRPr="003C7F6F">
        <w:rPr>
          <w:rFonts w:ascii="Calibri" w:hAnsi="Calibri" w:cs="Calibri"/>
          <w:lang w:eastAsia="ru-RU"/>
        </w:rPr>
        <w:t>сіптік</w:t>
      </w:r>
      <w:r w:rsidRPr="003C7F6F">
        <w:rPr>
          <w:lang w:val="en-US" w:eastAsia="ru-RU"/>
        </w:rPr>
        <w:t xml:space="preserve"> </w:t>
      </w:r>
      <w:r w:rsidRPr="003C7F6F">
        <w:rPr>
          <w:lang w:eastAsia="ru-RU"/>
        </w:rPr>
        <w:t>революция</w:t>
      </w:r>
      <w:r w:rsidRPr="003C7F6F">
        <w:rPr>
          <w:lang w:val="en-US" w:eastAsia="ru-RU"/>
        </w:rPr>
        <w:t xml:space="preserve"> </w:t>
      </w:r>
      <w:r w:rsidRPr="003C7F6F">
        <w:rPr>
          <w:lang w:eastAsia="ru-RU"/>
        </w:rPr>
        <w:t>жа</w:t>
      </w:r>
      <w:r w:rsidRPr="003C7F6F">
        <w:rPr>
          <w:rFonts w:ascii="Arial" w:hAnsi="Arial" w:cs="Arial"/>
          <w:lang w:eastAsia="ru-RU"/>
        </w:rPr>
        <w:t>ғ</w:t>
      </w:r>
      <w:r w:rsidRPr="003C7F6F">
        <w:rPr>
          <w:rFonts w:ascii="Calibri" w:hAnsi="Calibri" w:cs="Calibri"/>
          <w:lang w:eastAsia="ru-RU"/>
        </w:rPr>
        <w:t>дайында</w:t>
      </w:r>
      <w:r w:rsidRPr="003C7F6F">
        <w:rPr>
          <w:rFonts w:ascii="Arial" w:hAnsi="Arial" w:cs="Arial"/>
          <w:lang w:eastAsia="ru-RU"/>
        </w:rPr>
        <w:t>ғ</w:t>
      </w:r>
      <w:r w:rsidRPr="003C7F6F">
        <w:rPr>
          <w:rFonts w:ascii="Calibri" w:hAnsi="Calibri" w:cs="Calibri"/>
          <w:lang w:eastAsia="ru-RU"/>
        </w:rPr>
        <w:t>ы</w:t>
      </w:r>
      <w:r w:rsidRPr="003C7F6F">
        <w:rPr>
          <w:lang w:val="en-US" w:eastAsia="ru-RU"/>
        </w:rPr>
        <w:t xml:space="preserve"> </w:t>
      </w:r>
      <w:r w:rsidRPr="003C7F6F">
        <w:rPr>
          <w:lang w:eastAsia="ru-RU"/>
        </w:rPr>
        <w:t>дамуды</w:t>
      </w:r>
      <w:r w:rsidRPr="003C7F6F">
        <w:rPr>
          <w:rFonts w:ascii="Arial" w:hAnsi="Arial" w:cs="Arial"/>
          <w:lang w:eastAsia="ru-RU"/>
        </w:rPr>
        <w:t>ң</w:t>
      </w:r>
      <w:r w:rsidRPr="003C7F6F">
        <w:rPr>
          <w:lang w:val="en-US" w:eastAsia="ru-RU"/>
        </w:rPr>
        <w:t xml:space="preserve"> </w:t>
      </w:r>
      <w:r w:rsidRPr="003C7F6F">
        <w:rPr>
          <w:lang w:eastAsia="ru-RU"/>
        </w:rPr>
        <w:t>жа</w:t>
      </w:r>
      <w:r w:rsidRPr="003C7F6F">
        <w:rPr>
          <w:rFonts w:ascii="Arial" w:hAnsi="Arial" w:cs="Arial"/>
          <w:lang w:eastAsia="ru-RU"/>
        </w:rPr>
        <w:t>ң</w:t>
      </w:r>
      <w:r w:rsidRPr="003C7F6F">
        <w:rPr>
          <w:rFonts w:ascii="Calibri" w:hAnsi="Calibri" w:cs="Calibri"/>
          <w:lang w:eastAsia="ru-RU"/>
        </w:rPr>
        <w:t>а</w:t>
      </w:r>
      <w:r w:rsidRPr="003C7F6F">
        <w:rPr>
          <w:lang w:val="en-US" w:eastAsia="ru-RU"/>
        </w:rPr>
        <w:t xml:space="preserve"> </w:t>
      </w:r>
      <w:r w:rsidRPr="003C7F6F">
        <w:rPr>
          <w:lang w:eastAsia="ru-RU"/>
        </w:rPr>
        <w:t>м</w:t>
      </w:r>
      <w:r w:rsidRPr="003C7F6F">
        <w:rPr>
          <w:rFonts w:ascii="Arial" w:hAnsi="Arial" w:cs="Arial"/>
          <w:lang w:eastAsia="ru-RU"/>
        </w:rPr>
        <w:t>ү</w:t>
      </w:r>
      <w:r w:rsidRPr="003C7F6F">
        <w:rPr>
          <w:rFonts w:ascii="Calibri" w:hAnsi="Calibri" w:cs="Calibri"/>
          <w:lang w:eastAsia="ru-RU"/>
        </w:rPr>
        <w:t>мкіндіктері</w:t>
      </w:r>
      <w:r w:rsidRPr="003C7F6F">
        <w:rPr>
          <w:lang w:val="en-US" w:eastAsia="ru-RU"/>
        </w:rPr>
        <w:t xml:space="preserve">” </w:t>
      </w:r>
      <w:r w:rsidRPr="003C7F6F">
        <w:rPr>
          <w:lang w:eastAsia="ru-RU"/>
        </w:rPr>
        <w:t>атты</w:t>
      </w:r>
      <w:r w:rsidRPr="003C7F6F">
        <w:rPr>
          <w:lang w:val="en-US" w:eastAsia="ru-RU"/>
        </w:rPr>
        <w:t xml:space="preserve"> </w:t>
      </w:r>
      <w:r w:rsidRPr="003C7F6F">
        <w:rPr>
          <w:lang w:eastAsia="ru-RU"/>
        </w:rPr>
        <w:t>Жолдауын</w:t>
      </w:r>
      <w:r w:rsidRPr="003C7F6F">
        <w:rPr>
          <w:lang w:val="en-US" w:eastAsia="ru-RU"/>
        </w:rPr>
        <w:t xml:space="preserve"> </w:t>
      </w:r>
      <w:r w:rsidRPr="003C7F6F">
        <w:rPr>
          <w:lang w:eastAsia="ru-RU"/>
        </w:rPr>
        <w:t>толы</w:t>
      </w:r>
      <w:r w:rsidRPr="003C7F6F">
        <w:rPr>
          <w:rFonts w:ascii="Arial" w:hAnsi="Arial" w:cs="Arial"/>
          <w:lang w:eastAsia="ru-RU"/>
        </w:rPr>
        <w:t>қ</w:t>
      </w:r>
      <w:r w:rsidRPr="003C7F6F">
        <w:rPr>
          <w:lang w:val="en-US" w:eastAsia="ru-RU"/>
        </w:rPr>
        <w:t xml:space="preserve"> </w:t>
      </w:r>
      <w:r w:rsidRPr="003C7F6F">
        <w:rPr>
          <w:lang w:eastAsia="ru-RU"/>
        </w:rPr>
        <w:t>н</w:t>
      </w:r>
      <w:r w:rsidRPr="003C7F6F">
        <w:rPr>
          <w:rFonts w:ascii="Arial" w:hAnsi="Arial" w:cs="Arial"/>
          <w:lang w:eastAsia="ru-RU"/>
        </w:rPr>
        <w:t>ұ</w:t>
      </w:r>
      <w:r w:rsidRPr="003C7F6F">
        <w:rPr>
          <w:rFonts w:ascii="Calibri" w:hAnsi="Calibri" w:cs="Calibri"/>
          <w:lang w:eastAsia="ru-RU"/>
        </w:rPr>
        <w:t>с</w:t>
      </w:r>
      <w:r w:rsidRPr="003C7F6F">
        <w:rPr>
          <w:rFonts w:ascii="Arial" w:hAnsi="Arial" w:cs="Arial"/>
          <w:lang w:eastAsia="ru-RU"/>
        </w:rPr>
        <w:t>қ</w:t>
      </w:r>
      <w:r w:rsidRPr="003C7F6F">
        <w:rPr>
          <w:rFonts w:ascii="Calibri" w:hAnsi="Calibri" w:cs="Calibri"/>
          <w:lang w:eastAsia="ru-RU"/>
        </w:rPr>
        <w:t>ада</w:t>
      </w:r>
      <w:r w:rsidRPr="003C7F6F">
        <w:rPr>
          <w:lang w:val="en-US" w:eastAsia="ru-RU"/>
        </w:rPr>
        <w:t xml:space="preserve"> </w:t>
      </w:r>
      <w:r w:rsidRPr="003C7F6F">
        <w:rPr>
          <w:rFonts w:ascii="Arial" w:hAnsi="Arial" w:cs="Arial"/>
          <w:lang w:eastAsia="ru-RU"/>
        </w:rPr>
        <w:t>ұ</w:t>
      </w:r>
      <w:r w:rsidRPr="003C7F6F">
        <w:rPr>
          <w:rFonts w:ascii="Calibri" w:hAnsi="Calibri" w:cs="Calibri"/>
          <w:lang w:eastAsia="ru-RU"/>
        </w:rPr>
        <w:t>сынады</w:t>
      </w:r>
      <w:r w:rsidRPr="003C7F6F">
        <w:rPr>
          <w:lang w:val="en-US"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>
        <w:rPr>
          <w:rFonts w:ascii="Times New Roman" w:hAnsi="Times New Roman" w:cs="Times New Roman"/>
          <w:noProof/>
          <w:sz w:val="31"/>
          <w:szCs w:val="31"/>
          <w:lang w:eastAsia="ru-RU"/>
        </w:rPr>
        <w:drawing>
          <wp:inline distT="0" distB="0" distL="0" distR="0">
            <wp:extent cx="5421134" cy="3509319"/>
            <wp:effectExtent l="19050" t="0" r="8116" b="0"/>
            <wp:docPr id="1" name="Рисунок 1" descr="http://stan.kz/wp-content/uploads/2018/01/Zasedanie_Pravitelstva_1_m2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n.kz/wp-content/uploads/2018/01/Zasedanie_Pravitelstva_1_m2_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260" cy="350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Құрметті қазақстандықтар!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Бүгінде әлем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Төртінші өнеркәсіптік революция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дәуіріне, технологиялық, экономикалық және әлеуметтік салалардағы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терең және қарқынды өзгерістер кезеңіне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қадам басып келеді.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Жаңа технологиялық қалып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біздің қалай жұмыс істейтінімізді, азаматтық құқықтарымызды қалай іске асыратынымызды, балаларымызды қалай тәрбиелейтінімізді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түбегейлі өзгертуде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Біз жаһандық өзгерістер мен сын-қатерлерге дайын болу қажеттігін ескеріп,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«Қазақстан-2050» даму стратегиясын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қабылдадық.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Алдымызға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озық дамыған отыз елдің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қатарына кіру мақсатын қойдық.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100 нақты қадам – Ұлт жоспары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жүзеге асырылуда. Оның 60 қадамы қазірдің өзінде орындалып қойды. Қалғандары, негізінен, ұзақ мерзімге арналған және жоспарлы түрде іске асырылуда.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Өткен жылы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Қазақстанның Үшінші жаңғыруы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бастау алды.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lastRenderedPageBreak/>
        <w:t>Индустрияландыру бағдарламасы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табысты іске асуда.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«Цифрлық Қазақстан»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кешенді бағдарламасы қабылданды.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Қазақстан Республикасының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2025 жылға дейінгі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дамуының кешенді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стратегиялық жоспары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жасалды.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Біздің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ұзақ мерзімді мақсаттарымыз өзгеріссіз қала береді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Қажетті бағдарламалардың барлығы бар.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Жолдау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жаңа әлемге, яғни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Төртінші өнеркәсіптік революция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әлеміне бейімделу мен жетістікке жету жолын табу үшін </w:t>
      </w: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t>не істеу қажеттігін айқындайды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Құрметті отандастар!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Біз әлем елдерінің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сенімі мен құрметіне бөленіп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брендке айналған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тәуелсіз Қазақстанды құрдық.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2017 жылы біздің ел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БҰҰ Қауіпсіздік Кеңесінің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тұрақты емес мүшесі болды.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2018 жылдың қаңтар айында оған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төрағалық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етудеміз.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Біз дүниежүзілік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ЭКСПО мамандандырылған көрмесін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өткізу үшін әлемдік қоғамдастық таңдап алған ТМД және Шығыс Еуропа елдері арасындағы бірінші мемлекет болдық.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Қазақстанда табысты жұмыс істеп келе жатқан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нарықтық экономика моделі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қалыптасты.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2017 жылы еліміз әлемдік дағдарыстың қолайсыз салдарын еңсеріп,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сенімді өсу жолына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қайта түсті.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Жыл қорытындысы бойынша ішкі жалпы өнімнің өсуі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4 процент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болып, ал өнеркәсіптік өнімнің өсуі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7 проценттен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асты.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орайда, өнеркәсіптің жалпы көлемінде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өңдеуші сектордың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үлесі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40 проценттен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асып түсті.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Қазақстанның қолайлы дамуы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орта таптың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қалыптасуына мүмкіндік берді.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Кедейшілік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13 есе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қысқарып, жұмыссыздық деңгейі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4,9 процентке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дейін төмендеді.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Еліміздің әлеуметтік-экономикалық табыстарының негізі – біздің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басты құндылықтарымыз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ретінде қала беретін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азаматтық бейбітшілік, ұлтаралық және конфессияаралық келісім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Дегенмен, Қазақстанның жетістіктері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сенімді тірек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саналады, бірақ ол ертеңгі табыстарымыздың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кепілі емес екенін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жақсы сезінуіміз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«Көл-көсір мұнайдың» дәуірі аяқталып келеді. Елімізге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дамудың жаңа сапасы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Жаһандық трендтер көрсетіп отырғандай, ол, бірінші кезекте,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Төртінші өнеркәсіптік революция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элементтерін кеңінен енгізуге негізделуі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Мұның өзіндік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сын-қатерлері де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мүмкіндіктері де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бар.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Жаңа әлем көшбасшыларының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қатарына қосылу үшін Қазақстанда қажетті нәрсенің бәрі бар екеніне сенімдімін.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үшін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мынадай міндеттерді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шешуге жұмылуымыз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t>БІРІНШІ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. Индустрияландыру жаңа технологияларды енгізудің көшбасшысына 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айналуы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Оның нәтижелері мұнай бағасы күрт төмендеген 2014-2015 жылдардағы дағдарыста негізгі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тұрақтандырушы факторлардың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бірі болды.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Сол себепті жоғары еңбек өнімділігі бар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қайта өңдеу секторына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деген бағдарымыз өзгерген жоқ.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Сонымен қатар индустрияландыру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4.0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жаңа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технологиялық қалыптың барлық мүмкіндіктерін пайдалана отырып, мейлінше инновациялық сипатқа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ие болуға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Кәсіпорындарымызды жаңғыртуға және цифрландыруға бағытталған, өнімнің экспортқа шығуын көздейтін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жаңа құралдарды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әзірлеп, сыннан өткізу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Бұлар, бірінші кезекте,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технологиялардың трансфертін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ынталандыруға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Еліміздің бірнеше өнеркәсіптік кәсіпорнын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цифрландыру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жөніндегі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пилоттық жобаны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іске асырып, бұл тәжірибені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кеңінен тарату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Цифрлық және басқа да инновациялық шешімдерді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әзірлеушілердің өз экожүйесін дамытуы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аса маңызды мәселеге айналып келеді.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Ол біздің</w:t>
      </w:r>
      <w:r w:rsidRPr="003C7F6F">
        <w:rPr>
          <w:rFonts w:ascii="Times New Roman" w:hAnsi="Times New Roman" w:cs="Times New Roman"/>
          <w:i/>
          <w:iCs/>
          <w:sz w:val="31"/>
          <w:lang w:eastAsia="ru-RU"/>
        </w:rPr>
        <w:t> Назарбаев Университеті, «Астана» халықаралық қаржы орталығы, IT-стартаптардың халықаралық технопаркі 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сияқты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инновациялық орталықтардың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төңірегінде қалыптасуға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i/>
          <w:iCs/>
          <w:sz w:val="31"/>
          <w:lang w:eastAsia="ru-RU"/>
        </w:rPr>
        <w:t>«Алатау» инновациялық технологиялар паркінің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қызметін ұйымдастыруды түбегейлі қайта қарау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Нақты сектордың жаңа технологияларға деген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сұранысты ынталандыруы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және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венчурлық қаржыландырудың жеке нарығының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қызметі инновациялық экожүйе жетістіктерінің негізгі факторлары болып саналады.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үшін тиісті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заңнама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Бұдан бөлек,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IT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және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инжинирингтік қызмет көрсетуді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дамыту ерекше маңызға ие болып отыр.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Экономиканы цифрландыру табыс әкелгенімен,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жұмыс күшінің көптеп босап қалу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қаупін де тудырады.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Босайтын жұмыс күшін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еңбекпен қамту үшін келісілген саясатты алдын ала тиянақтау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Білім беру жүйесін, коммуникация мен стандарттау салаларын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жаңа индустрияландыру талаптарына бейімдеу қажет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2018 жылы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«цифрлық дәуір»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өнеркәсібін қалыптастыруға арналған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индустрияландырудың үшінші бесжылдығын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әзірлеуге кірісу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t>ЕКІНШІ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. Ресурстық әлеуетті одан әрі дамыту.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ХХІ ғасырда әлемнің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табиғи ресурстарға деген мұқтаждығы жалғасуда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 Олар болашақта жаһандық экономиканы және еліміздің экономикасын дамыту барысында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ерекше маңызға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ие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Бірақ шикізат индустрияларын ұйымдастыру ісін, табиғи ресурстарды басқаруға қатысты ұстанымдарды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сыни тұрғыдан қайта пысықтау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Кешенді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ақпараттық-технологиялық платформаларды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белсенді түрде енгізу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Кәсіпорындардың энергия тиімділігі мен энергия үнемдеуге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, сондай-ақ энергия өндірушілердің өз жұмыстарының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экологиялық тазалығы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мен тиімділігіне қойылатын талаптарды арттыру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Астанада өткен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ЭКСПО-2017 көрмесі баламалы, «таза» энергия саласындағы дамудың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қаншалықты қарқынды екенін көрсетті.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Бүгінде әлем бойынша өндірілетін электр энергиясының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төрттен бірі жаңартылатын энергия көздеріне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тиесілі.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Болжам бойынша,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2050 жылға қарай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бұл көрсеткіш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80 процентке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жетеді.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Біз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2030 жылға қарай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Қазақстандағы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баламалы энергия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үлесін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30 процентке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жеткізу міндетін қойдық.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Қазір бізде жалпы қуаттылығы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336 МВт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болатын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жаңартылатын энергия көздерінің 55 нысаны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жұмыс істейді. Соларда 2017 жылы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1,1 миллиард киловатт-сағат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«жасыл» энергия өндірілді.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«Жасыл» технологияларға инвестиция салу үшін бизнесті ынталандыру маңызды.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Өңірлердің әкімдері шағын және орта бизнес субъектілерін кеңінен тартып,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тұрмыстық қаттықалдықтарды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заман талабына сай утилизациялау және қайта өңдеу үшін шаралар қабылдау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Осы және басқа да шаралар заңнамаға, соның ішінде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Экологиялық кодекске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өзгерістер енгізуді талап етеді.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lastRenderedPageBreak/>
        <w:t>ҮШІНШІ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. «Ақылды технологиялар» – агроөнеркәсіп кешенін қарқынды дамыту мүмкіндігі.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Аграрлық саясат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еңбек өнімділігін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түбегейлі арттыруға және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өңделген өнімнің экспортын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ұлғайтуға бағытталуы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Біз егін егіп, дәнді дақылдарды өсіруді үйрендік.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Оны мақтан тұтамыз. Алайда, қазір ол жеткіліксіз.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Шикізатты қайта өңдеуді қамтамасыз етіп, әлемдік нарықтарға жоғары сапалы дайын өніммен шығуымыз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мәселені шешуге барлық аграрлық кешеннің түбегейлі бет бұруы маңызды.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Аграрлық ғылымды дамыту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мәселесі басты назарда болуға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Ол ең алдымен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жаңа технологияларды трансферттеумен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және оларды отандық жағдайға бейімдеумен айналысуы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Осыған орай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аграрлық университеттердің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рөлін қайта қарау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Олар диплом беріп қана қоймай, ауыл шаруашылығы кешенінде нақты жұмыс істейтін немесе ғылыммен айналысатын мамандарды дайындауға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жоғары оқу орындарынан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оқу бағдарламаларын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жаңартып, агроөнеркәсіп кешеніндегі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озық білім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мен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үздік тәжірибені тарататын орталықтарға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айналу талап етіледі.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Мысалы, егін егу мен астық жинаудың оңтайлы уақытын болжамдаудың, «ақылды суарудың», минералды тыңайтқыш себудің, зиянкестермен және арамшөппен күресудің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интеллектуалды жүйелері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арқылы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өнімділікті бірнеше есе арттыруға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Жүргізушісі жоқ техника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адами факторды азайтып, егіншіліктің өзіндік құнын айтарлықтай төмендетуге мүмкіндік береді.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Жаңа технологиялар мен бизнес-модельдерді енгізу,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агроөнеркәсіп кешенінің ғылымға негізделуін арттыру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шаруашылықтарды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кооперациялау қажеттігін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күшейтеді.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Ауыл шаруашылығы субъектілерінің кооператив түрінде жұмыс істеуіне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жан-жақты қолдау көрсету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Мемлекет бизнеспен бірлесіп, отандық өнімді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халықаралық нарыққа шығарудың стратегиялық жолын тауып,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ілгерілетуге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Ауыл шаруашылығын қарқынды дамыту өнімнің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сапасы мен экологиялық тазалығын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сақтай отырып жүргізілуі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бүкіл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әлемге танылатын «Қазақстанда жасалған» табиғи азық-түлік брендін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қалыптастырып, ілгерілетуге мүмкіндік береді.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Сонымен қатар жерді барынша тиімді игеретіндерді ынталандырып, ал дұрыс пайдалана алмайтындарға шара қолдану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lastRenderedPageBreak/>
        <w:t>Тиімсіз субсидияларды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ауыл шаруашылығы кешені субъектілеріне арналған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банк несиелерін арзандатуға қайта бағыттау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5 жыл ішінде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агроөнеркәсіп кешеніндегі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еңбек өнімділігін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және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өңделген ауыл шаруашылығыөнімінің экспортын,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тиісінше, кем дегенде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2,5 есеге арттыруды тапсырамын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t>ТӨРТІНШІ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. Көлік-логистика инфрақұрылымының тиімділігін арттыру.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Бүгінде Қазақстан арқылы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бірнеше трансконтиненталды коридор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өтеді.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туралы көп айтылды.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Жалпы, Қазақстан арқылы өткен жүк транзиті 2017 жылы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17 процентке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өсіп,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17 миллион тоннаға жуықтады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Транзиттен түсетін жыл сайынғы табысты 2020 жылы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5 миллиард долларға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жеткізу міндеті тұр.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инфрақұрылымға жұмсалған мемлекет қаражатын тез арада қайтаруға мүмкіндік береді.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Жүк қозғалысын онлайн режімінде бақылап, олардың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кедергісіз тасымалдануы үшін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және кедендік операцияларды жеңілдету мақсатымен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блокчейн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сияқты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цифрлық технологиялардың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ауқымды түрде енгізілуін қамтамасыз ету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Заманауи шешімдер логистиканың барлық буынының өзара байланысын ұйымдастыруға мүмкіндік береді.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«Үлкен деректерді»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</w:t>
      </w:r>
      <w:r w:rsidRPr="003C7F6F">
        <w:rPr>
          <w:rFonts w:ascii="Times New Roman" w:hAnsi="Times New Roman" w:cs="Times New Roman"/>
          <w:i/>
          <w:iCs/>
          <w:sz w:val="31"/>
          <w:lang w:eastAsia="ru-RU"/>
        </w:rPr>
        <w:t>(Big data) 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пайдалану сапалы талдауды қамтамасыз етуге,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өсімнің резервін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анықтауға және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артық шығынды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азайтуға жағдай туғызады.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Осы мақсаттар үшін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Интеллектуалды көлік жүйесін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енгізу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жүйе көлік ағынын тиімді басқаруға және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инфрақұрылымды одан әрі дамыту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қажеттігін анықтауға жол ашады.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Ішкі өңірлік қатынастарды жақсарту үшін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автожолдардың жергілікті желісін жөндеу мен қайта салуға арналған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қаржы көлемін көбейту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Осыған жыл сайын бөлінетін бюджет қаражатының жалпы көлемін орташа мерзімдегі кезеңде 150 миллиард теңгеге жеткізу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жұмысқа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өңірлердегі барлық әкімдіктердің белсенді қатысуын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қамтамасыз ету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t>БЕСІНШІ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. Құрылысқа және коммуналдық секторға заманауи технологияларды енгізу.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Жүзеге асырылып жатқан бағдарламалар арқасында Қазақстанда пайдалануға берілген тұрғын үйлердің көлемі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жылына 10 миллион шаршы метрден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асты.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Тұрғын үйді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көпшілікке қолжетімді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еткен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тұрғын үй жинақтау жүйесі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тиімді жұмыс істеуде.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Баспанамен қамту көрсеткіші соңғы 10 жылда бір тұрғынға шаққанда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30 процентке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өсіп, бүгінде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21,6 шаршы метрді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құрады.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көрсеткішті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2030 жылы 30 шаршы метрге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дейін жеткізу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Осы міндетті орындау барысында құрылыс салудың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жаңа әдістерін, заманауи материалдарды,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сондай-ақ ғимараттардың жобасы мен қала құрылысының жоспарын жасағанда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мүлде басқа тәсілдерді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қолдану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Ғимараттардың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сапасына, экологиялық тазалығына және энергиялық тиімділігіне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жоғары талап қою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Салынатын және салынған үйлер мен инфрақұрылымдық нысандарды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интеллектуалды басқару жүйелерімен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жабдықтау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тұрғындарға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Заңнамаға,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соның ішінде табиғи монополиялар саласын реттейтін заңдарға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тиісті өзгерістер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енгізу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Әкімдер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тұрғын үй-коммуналдық инфрақұрылымын жетілдіру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мәселесін мемлекет-жекеменшік серіктестігі негізінде белсенді шешуі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Ауылдық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елді мекендерді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сапалы ауызсумен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қамтамасыз ету үшін Үкімет бұл іске барлық қаражат көздерінен жыл сайын кем дегенде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100 миллиард теңге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қарастыруы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t>АЛТЫНШЫ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. Қаржы секторын «қайта жаңғырту».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Банктік портфельдерді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«нашар» несиеден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арылту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ісін аяқтау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Ол үшін банк иелері шығындарын мойындай отырып,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экономикалық жауапкершілік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алуға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Акционерлердің аффилирленген компаниялар мен жеке адамдардың пайдасы үшін банктерден қаржы шығаруы ауыр қылмыс болып саналуға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Ұлттық Банк мұндай істерге немқұрайлы қарамау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Әйтпесе, мұндай мемлекеттік органның не керегі бар?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Ұлттық Банк тарапынан қаржы институттарының қызметін қадағалау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қатаң, уақтылы әрі нәтижелі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болуға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Мемлекет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қарапайым азаматтардың мүдделерін қорғауға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одан әрі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кепілдік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береді.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Жеке тұлғалардың банкроттығы туралы заң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қабылдауды тездету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Сонымен қатар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2016 жылдың 1 қаңтарына дейін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халыққа берілген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валюталық ипотекалық займдар жөніндегі мәселені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Ұлттық Банкке толығымен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шешуді тапсырамын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Сол күннен бастап аталған валюталық займдарды жеке тұлғаларға беруге заң жүзінде тыйым салынған болатын.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Ұлттық Банк пен Үкімет экономика салаларындағы нақты тиімділікті есепке алатын ставкалармен бизнеске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ұзақ мерзімді несиелендіруді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қамтамасыз ету мәселесін бірлесіп шешуге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Инвестициялық ахуалдың одан әрі жақсаруы және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қор нарығының дамуы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маңызды болып саналады.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– жұмысын бастаған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«Астана» халықаралық қаржы орталығының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негізгі міндеттерінің бірі.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Ол халықаралық озық тәжірибені пайдаланып, ағылшын құқығы мен заманауи қаржы технологияларын қолданатын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өңірлік хабқа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айналуға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«Самұрық-Қазына» ұлттық әл-ауқат қоры» ұлттық компанияларының акцияларын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IPO-ға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табысты түрде шығару қор нарығын дамытуға септігін тигізеді.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t>ЖЕТІНШІ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. Адами капитал – жаңғыру негізі.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i/>
          <w:iCs/>
          <w:sz w:val="31"/>
          <w:u w:val="single"/>
          <w:lang w:eastAsia="ru-RU"/>
        </w:rPr>
        <w:t>Білім берудің жаңа сапасы</w:t>
      </w:r>
      <w:r w:rsidRPr="003C7F6F">
        <w:rPr>
          <w:rFonts w:ascii="Times New Roman" w:hAnsi="Times New Roman" w:cs="Times New Roman"/>
          <w:b/>
          <w:bCs/>
          <w:i/>
          <w:iCs/>
          <w:sz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Барлық жастағы азаматтарды қамтитын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білім беру ісінде өзіміздің озық жүйемізді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құруды жеделдету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Білім беру бағдарламаларының негізгі басымдығы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өзгерістерге үнемі бейім болу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және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жаңа білімді меңгеру қабілетін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дамыту болуға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2019 жылдың 1 қыркүйегіне қарай </w:t>
      </w: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t>мектепке дейінгі білім беру ісінде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балалардың ерте дамуы үшін өз бетінше оқу машығы мен әлеуметтік дағдысын дамытатын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бағдарламалардың бірыңғай стандарттарын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енгізу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t>Орта білім беру саласында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жаңартылған мазмұнға көшу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басталды, ол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2021 жылы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аяқталатын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– мүлде жаңа бағдарламалар, оқулықтар, стандарттар және кадрлар.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Педагогтарды оқыту және олардың біліктілігін арттыру жолдарын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қайта қарау керек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Еліміздің университеттеріндегі педагогикалық кафедралар мен факультеттерді дамыту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Білім берудің барлық деңгейінде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математика және жаратылыстану ғылымдарын оқыту сапасын күшейту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– жастарды жаңа технологиялық қалыпқа дайындаудың маңызды шарты.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Білім беру мекемелерінің арасындағы бәсекелестікті арттырып, жеке капиталды тарту үшін қала мектептерінде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жан басына қатысты қаржыландыру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енгізілетін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Біздегі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оқушылардың жүктемесі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ескеріп, оны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төмендету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Барлық өңірлердегі Оқушылар сарайларының базасында компьютерлерді, лабораторияларды және 3Д-принтерлерді қоса алғанда, барлық қажетті инфрақұрылымдары бар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балалар технопарктері мен бизнес-инкубаторларының желісін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құру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жас ұрпақты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ғылыми-зерттеу саласына және өндірістік-технологиялық ортаға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ұтымды түрде кірістіруге көмектеседі.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Қазақстандықтардың болашағы – </w:t>
      </w:r>
      <w:r w:rsidRPr="003C7F6F">
        <w:rPr>
          <w:rFonts w:ascii="Times New Roman" w:hAnsi="Times New Roman" w:cs="Times New Roman"/>
          <w:i/>
          <w:iCs/>
          <w:sz w:val="31"/>
          <w:lang w:eastAsia="ru-RU"/>
        </w:rPr>
        <w:t>қазақ, орыс 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және </w:t>
      </w:r>
      <w:r w:rsidRPr="003C7F6F">
        <w:rPr>
          <w:rFonts w:ascii="Times New Roman" w:hAnsi="Times New Roman" w:cs="Times New Roman"/>
          <w:i/>
          <w:iCs/>
          <w:sz w:val="31"/>
          <w:lang w:eastAsia="ru-RU"/>
        </w:rPr>
        <w:t>ағылшын 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тілдерін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еркін меңгеруінде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Орыс тілді мектептер үшін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қазақ тілін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оқытудың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жаңа әдістемесі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әзірленіп, енгізілуде.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Егер біз қазақ тілі ғұмырлы болсын десек, оны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жөнсіз терминологиямен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қиындатпай, қазіргі заманға лайықтауымыз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Алайда, соңғы жылдары әлемде қалыптасқан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7 мың термин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қазақ тіліне аударылған.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Мұндай «жаңалықтар» кейде күлкіңді келтіреді.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Мысалы,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«ғаламтор»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(Интернет),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«қолтырауын»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(крокодил),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«күйсандық»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(фортепиано) және тағы сол сияқтылар толып жатыр.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Осындай аудармаларды негіздеу тәсілдерін қайта қарастырып, терминология тұрғысынан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қазақ тілін халықаралық деңгейге жақындату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Латын әліпбиіне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көшу бұл мәселені реттеуге мүмкіндік береді.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2025 жылға дейін білім берудің барлық деңгейінде латын әліпбиіне көшудің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нақты кестесін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жасау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Орыс тілін 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білу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маңызды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болып қала береді.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2016 жылдан бері жаңартылған бағдарлама бойынша орыс тілі қазақ мектептерінде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1-сыныптан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бастап оқытылып келеді.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2019 жылдан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10-11-сыныптардағы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жаратылыстану ғылымының жекелеген пәндерін оқытуды ағылшын тіліне көшіру басталатын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Нәтижесінде, біздің барлық түлектеріміз елімізде және жаһандық әлемде өмір сүріп, жұмыс істеуі үшін қажетті деңгейде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үш тілді меңгеретін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Сонда ғана нағыз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азаматтық қоғам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құрылады.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Кез келген этникалық топтың өкілі кез келген жұмысты таңдай алады, тіпті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Президент болып сайлануға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да мүмкіндігі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Қазақстандықтар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біртұтас ұлтқа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айналады.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Оқытудың мазмұндылығы заманауи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техникалық тұрғыдан қолдау көрсету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арқылы үйлесімді түрде толықтырылуға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Цифрлық білім беру ресурстарын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дамыту, кең жолақты Интернетке қосу және мектептерімізді видеоқұрылғылармен жабдықтау жұмыстарын жалғастыру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Жұмыс берушілерді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тарту арқылы және халықаралық талаптар мен цифрлық дағдыларды ескере отырып, </w:t>
      </w: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t>техникалық және кәсіптік білім беру бағдарламаларын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жаңарту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«Баршаға тегін кәсіптік-техникалық білім беру»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жобасын жүзеге асыруды жалғастыру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Мемлекет жастарға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алғашқы мамандықты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береді.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Үкімет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бұл міндетті орындауға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Орта мектеп пен колледждер және жоғары оқу орындары үздік оқытушыларының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видеосабақтары мен видеолекцияларын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Интернетте орналастыру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барлық қазақстандықтарға, оның ішінде шалғайдағы елді мекен тұрғындарына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озық білім мен құзыреттілікке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қол жеткізуге жол ашады.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t>Жоғары білім беру ісінде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Осыған орай</w:t>
      </w:r>
      <w:r w:rsidRPr="003C7F6F">
        <w:rPr>
          <w:rFonts w:ascii="Times New Roman" w:hAnsi="Times New Roman" w:cs="Times New Roman"/>
          <w:i/>
          <w:iCs/>
          <w:sz w:val="31"/>
          <w:lang w:eastAsia="ru-RU"/>
        </w:rPr>
        <w:t> металлургия, мұнай-газ химиясы, агроөнеркәсіп кешені, био және IT-технологиялар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салаларын зерттеу ісінде басымдық беретін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жоғары оқу орны ғылымын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дамыту керек</w:t>
      </w:r>
      <w:r w:rsidRPr="003C7F6F">
        <w:rPr>
          <w:rFonts w:ascii="Times New Roman" w:hAnsi="Times New Roman" w:cs="Times New Roman"/>
          <w:i/>
          <w:iCs/>
          <w:sz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Қолданбалы ғылыми-зерттеулерді ағылшын тіліне біртіндеп көшіруді жүзеге асыру талап етіледі.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Жоғары оқу орындары шетелдердің жетекші университеттерімен, ғылыми орталықтарымен, ірі кәсіпорындарымен және трансұлттық корпорацияларымен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бірлескен жобаларды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белсенді түрде жүзеге асыруы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Жеке сектордың бірлескен қаржыландыруға атсалысуы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барлық қолданбалы ғылыми-зерттеу әзірлемелері үшін міндетті талап болуға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lastRenderedPageBreak/>
        <w:t>Жас ғалымдарымызға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ғылыми гранттар аясында квота бөліп,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оларды қолдаудың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жүйелі саясатын жүргізуіміз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Білім беру саласына өзінің инвестициялық жобалары мен экспорттық әлеуеті бар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экономиканың жеке саласы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ретінде қарайтын кез келді.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Жоғары оқу орындарына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білім беру бағдарламаларын жасауға көбірек құқық беріп, олардың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академиялық еркіндігін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заңнамалық тұрғыдан бекіту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Оқытушылардың қайта даярлықтан өтуіне күш салып, жоғары оқу орындарына шетелдік менеджерлерді тартып, әлемдік университеттердің кампустарын ашу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Ұлттың әлеуетін арттыру үшін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мәдениетіміз бен идеологиямызды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одан әрі дамытуымыз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«Рухани жаңғырудың»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мән-маңызы да нақ осында.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Өзінің тарихын, тілін, мәдениетін білетін, сондай-ақ заманына лайық, шет тілдерін меңгерген,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озық әрі жаһандық көзқарасы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бар қазақстандық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біздің қоғамымыздың идеалына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айналуға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i/>
          <w:iCs/>
          <w:sz w:val="31"/>
          <w:u w:val="single"/>
          <w:lang w:eastAsia="ru-RU"/>
        </w:rPr>
        <w:t>Үздік денсаулық сақтау ісі және дені сау ұлт</w:t>
      </w:r>
      <w:r w:rsidRPr="003C7F6F">
        <w:rPr>
          <w:rFonts w:ascii="Times New Roman" w:hAnsi="Times New Roman" w:cs="Times New Roman"/>
          <w:b/>
          <w:bCs/>
          <w:i/>
          <w:iCs/>
          <w:sz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Халықтың өмір сүру ұзақтығының өсуіне және медициналық технологиялардың дамуына байланысты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медициналық қызмет көрсетуге деген сұраныс көлемі арта түсетін болады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Қазіргі денсаулық сақтау ісі қымбатқа түсетін стационарлық емге емес,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негізінен аурудың алдын алуға бағытталуға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Саламатты өмір салтын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насихаттай отырып,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қоғамдық денсаулықты басқару ісін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күшейту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Жастардың репродуктивті денсаулығын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қорғауға және нығайтуға ерекше назар аудару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Тиімділігі аз және мемлекет үшін шығыны көп диспансерлік ем қолданудан негізгі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созылмалы ауруларға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алыстан диагностика жасап, сондай-ақ осы саланы амбулаторлық емдеу арқылы басқаруға көшу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тәжірибе әлемде бұрыннан бар.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Оны батыл әрі белсенді түрде енгізу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Онкологиялық аурулармен күресу үшін кешенді жоспар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қабылдап,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ғылыми онкологиялық орталық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құру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Халықаралық озық тәжірибе негізінде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ауруды ерте диагностикалаудың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және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қатерлі ісікті емдеудің жоғары тиімділігі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қамтамасыз етілуге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Біз кардиология, босандыру және өкпе ауруымен күресу кезінде атқарған істеріміз сияқты жұмыстарды да жүргізуіміз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Денсаулық сақтау саласы халықтың, мемлекеттің және жұмыс берушінің ортақ жауапкершілігіне негізделген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Міндетті әлеуметтік медициналық сақтандыру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жүйесіне кезең-кезеңімен көшетін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Оны енгізудің қажеттілігі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ешқандай күмән туғызбайды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Алайда, Денсаулық сақтау министрлігі мен Еңбек және халықты әлеуметтік қорғау министрлігі іске асырмаған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дайындық жұмыстарын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тыңғылықты жүргізу талап етіледі.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Мемлекеттің міндеттерін нақты белгілей отырып,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Тегін медициналық көмектің кепілдік берілген көлемінің жаңа моделін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әзірлеу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Ақпараттық жүйелерді біріктіру,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қолжетімділігі мен тиімділігін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арттыру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Медицинада ауруларды диагностикалау мен емдеудің тиімділігін айтарлықтай арттыратын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генетикалық талдау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мен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жасанды интеллект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технологияларын енгізуге кірісуіміз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Медициналық кадрлармен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қамтамасыз ету және оларды сапалы даярлау маңызды мәселе болып саналады.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Бүгінде бізде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Назарбаев Университетінің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бірегей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Медицина мектебі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бар. Онда біріктірілген университет клиникасы жұмыс істейді.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тәжірибе барлық медициналық жоғары оқу орындарына таратылуға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Осы және басқа да шараларды іске асыру үшін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«Халық денсаулығы және денсаулық сақтау жүйесі туралы» кодекстің жаңа редакциясын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әзірлеу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i/>
          <w:iCs/>
          <w:sz w:val="31"/>
          <w:u w:val="single"/>
          <w:lang w:eastAsia="ru-RU"/>
        </w:rPr>
        <w:t>Сапалы жұмыспен қамту және әлеуметтік қамсыздандырудың әділетті жүйесі</w:t>
      </w:r>
      <w:r w:rsidRPr="003C7F6F">
        <w:rPr>
          <w:rFonts w:ascii="Times New Roman" w:hAnsi="Times New Roman" w:cs="Times New Roman"/>
          <w:b/>
          <w:bCs/>
          <w:i/>
          <w:iCs/>
          <w:sz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t>Еңбек нарығының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тиімділігін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қамтамасыз етіп, әрбір адамның өз әлеуетін іске асыра алуы үшін жағдай жасаудың маңызы зор.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Барлық негізгі мамандық бойынша 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заманауи стандарттар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әзірлеу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Бұл стандарттарда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жұмыс берушілер мен бизнесмендер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еңбеккерлердің білімі, қабілеті мен құзыретінің қандай болуы қажеттігін нақты белгілейді.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Кәсіби стандарттардың талаптарын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ескеріп,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білім берудің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жаңа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бағдарламаларын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әзірлеу қажет немесе қазіргі бағдарламаларды жаңарту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Өзін-өзі жұмыспен қамтығандар мен жұмыссыздар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экономикалық өсімнің резерві саналады.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Мен өзін-өзі жұмыспен қамтығандар мәселесін қарастыру жөнінде бірнеше рет талап қойғанмын.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Еңбек және халықты әлеуметтік қорғау министрлігі бұл іске жауапсыздық танытып, атүсті қарап отырды.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Адамдарды нәтижелі жұмысқа тарту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үшін көбірек мүмкіндік беріп, олардың жеке кәсібін бастауына немесе жаңа мамандық алып, жұмысқа орналасуына жағдай жасау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«Атамекен» ұлттық кәсіпкерлер палатасының бизнесті үйрету жөніндегі жұмыстары қолдауға тұрарлық.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Нәтижелі жұмыспен қамтуды және жаппай кәсіпкерлікті дамыту бағдарламасы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аясында оның құралдарын нығайта отырып, халықтың осы санаттарын кеңінен тарту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Өзін-өзі жұмыспен қамтығандарды тіркеу үдерісін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мейлінше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жеңілдетіп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Қазақстандықтардың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жаңа жұмыс орнын салыстырмалы түрде тезірек иеленуге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, соның ішінде еліміздің басқа да елді мекендерінен жұмыс табуға мүмкіндігі болуға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Бірыңғай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электрондық еңбек биржасын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кең ауқымда енгізу қажет. Онда бос жұмыс орындары мен жұмыс іздеушілер туралы барлық ақпарат жинақталуға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Азаматтар үйлерінен шықпай-ақ кәсіби бағдарлы тест тапсырып, оқу курстары мен мемлекеттік қолдау шаралары туралы біліп,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өзін қызықтыратын жұмыс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таба алатын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Еңбек кітапшаларын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да электрондық форматқа көшірген жөн.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Электрондық еңбек биржасы туралы заңды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2018 жылғы 1 сәуірге дейін қабылдау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t>Әлеуметтік саясат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азаматтарды толыққанды экономикалық өмірге тарту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арқылы жүзеге асырылатын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Қазір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зейнетақы жүйесі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толықтай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еңбек өтіліне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байланыстырылған.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Кім көп жұмыс істесе, сол көп зейнетақы алатын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Осыған орай, барша қазақстандықтар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өздерінің атқаратын жұмыстарын заңдастыруға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зор мән беруі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Әлеуметтік сақтандыру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жүйесінде де еңбек өтілі мен өтемақы мөлшері арасындағы өзара байланыс күшейтілетін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Біз 2018 жылдан бастап халықтың әлеуметтік тұрғыдан аз қамтылған тобына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атаулы әлеуметтік көмек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көрсетудің жаңа тәртібіне көштік.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Оның шегі ең төменгі күнкөріс деңгейінің 40 процентінен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50 процентіне дейін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көтерілді.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Еңбекке қабілетті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әлеуметтік тұрғыдан аз қамтылған азаматтар үшін берілетін қаржылай көмек олар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жұмыспен қамту шараларына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қатысқан жағдайда ғана қолжетімді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Еңбекке қабілетсіз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азаматтарға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мемлекеттік қолдау көрсету шаралары күшейтіледі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Қымбатты қазақстандықтар!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Мемлекет өзінің әлеуметтік міндеттемелерінің барлығын толықтай орындайды.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2016-2017 жылдары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зейнетақы мен жәрдемақы үш рет көбейгенін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еске салғым келеді.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Базалық зейнетақы, жалпы алғанда,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29 процентке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, ынтымақты зейнетақы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32 процентке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, бала тууға байланысты жәрдемақы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37 процентке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, ал мүгедектер мен асыраушысынан айырылғандарға төленетін жәрдемақының әрқайсысы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43 процентке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өсті.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Денсаулық сақтау саласындағы қызметкерлердің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жалақысы 28 процентке дейін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, білім беру саласы қызметкерлерінің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жалақысы 29 процентке дейін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, әлеуметтік қорғау саласы қызметкерлерінің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жалақысы 40 процентке дейін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, «Б» корпусындағы мемлекеттік қызметшілердің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жалақысы 30 процентке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, стипендиялар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25 процентке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өсті.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Дағдарыс заманы. Әйтсе де, әлемнің санаулы ғана елдері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әлеуметтік салаға жұмсайтын шығындарын осылай арттыра алды.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Республикалық бюджеттің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әлеуметтік салаға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бөлінген шығыны 2018 жылы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12 процентке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өсіп,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4,1 триллион теңгеден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асты.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Әлеуметтік төлемдерді, соның ішінде зейнетақыны өсіру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3 миллионнан астам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қазақстандықтың табыстарын көбейтеді.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2018 жылдың 1 қаңтарынан бастап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ынтымақты зейнетақы 8 процентке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артты.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Мүгедектерге, асыраушысынан айырылған және мүгедек балалар тәрбиелеп отырған отбасыларына арналған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жәрдемақылар 16 процентке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дейін өсті.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2018 жылдың 1 шілдесінен бастап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базалық зейнетақы еңбек өтіліне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байланысты орташа алғанда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1,8 есе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көбейетін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Бұдан бөлек, 2018 жылдың 1 шілдесінен бастап </w:t>
      </w:r>
      <w:r w:rsidRPr="003C7F6F">
        <w:rPr>
          <w:rFonts w:ascii="Times New Roman" w:hAnsi="Times New Roman" w:cs="Times New Roman"/>
          <w:i/>
          <w:iCs/>
          <w:sz w:val="31"/>
          <w:lang w:eastAsia="ru-RU"/>
        </w:rPr>
        <w:t>кәмелетке толған, бала кезінен бірінші топтағы мүгедектерді бағып отырған ата-аналар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үшін қосымша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мемлекеттік жәрдемақыны енгізуді тапсырамын.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Бір ең төменгі күнкөріс деңгейінен кем емес мұндай жәрдемақыны шамамен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14 мың отбасы 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ай сайын алады.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2018 жылы осы мақсатқа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3 миллиард теңгеге дейін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қаржы қажет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Мұғалім мәртебесін арттыру мақсатымен білім берудің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жаңартылған мазмұнына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көшкен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ұстаздардың лауазымдық жалақысын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2018 жылдың 1 қаңтарынан бастап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30 процентке көбейтуді тапсырамын.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Жаңартылған мазмұн дегеніміз – халықаралық стандарттарға сай келетін және Назарбаев зияткерлік мектептерінде бейімделуден өткен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заманауи оқу бағдарламалары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Бұлар біздің балаларымызға қажетті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функционалдық сауаттылық пен сыни тұрғыдан ойлау қабілетін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дарытады.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Сонымен қатар 2018 жылы категориялар арасындағы алшақтықты арттырып, мұғалімдер үшін біліктілік деңгейін ескеретін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категориялардың жаңа кестесін енгізуді тапсырамын.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Категорияларды бүкіл әлемде қолданылып жүрген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ұлттық біліктілік тест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арқылы беру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педагогтарды өздерін ұдайы жетілдіруге ынталандыратын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Нәтижесінде,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мұғалімдердің жалақысы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біліктілігінің расталуына байланысты тұтастай алғанда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30 проценттен 50 процентке дейін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өседі.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үшін биыл қосымша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67 миллиард теңге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бөлу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t>СЕГІЗІНШІ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. Тиімді мемлекеттік басқару.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Мемлекеттік әкімшілендіру 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кезінде кәсіпкерлер мен тұрғындардың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шығындарын қысқартуға байланысты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жұмыстарды жалғастыру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Осыған орай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бизнесті реттеуге қатысуды әрі қарай азайтуға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бағытталған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заң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қабылдауды жылдамдату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«Бір терезе»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қағидаты бойынша бизнеске мемлекеттік қолдау көрсету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үдерістерін цифрландыруды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қамтамасыз ету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Мемлекеттік органдардың ақпараттық жүйелерінің интеграциясы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«бір өтініш»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 xml:space="preserve"> қағидаты бойынша жекелеген 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мемлекеттік қызмет көрсетуден кешенді қызмет көрсетуге көшуге мүмкіндік береді.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Сонымен қатар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табиғи монополия субъектілері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көрсететін қызметтерінің сапасын арттыру жөніндегі жұмысты жалғастыру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Олар үшін және энергия өндірушілер үшін инвестициялық бағдарламаларын ескеріп, негізделген тарифтерді белгілеу маңызды.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Бизнес-климатты жақсарту үшін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батыл іс-қимыл талап етіледі, әсіресе өңірлік деңгейде.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Үкімет бизнесті көлеңкеден шығарып, оны қолдауға бағытталған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жүйелі шаралардың жаңа пакетін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дайындауға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Мемлекеттік органдарға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бағынышты ұйымдардың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санын қысқарту есебінен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жекешелендіру жоспарын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кеңейте отырып, оны іске асыруды жеделдету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Әкімшілік шығындарды азайту үшін  ведомствоға бағынышты нақты қажетті ұйымдарды мүмкіндігінше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біріктіру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Босаған қаражатты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мемлекеттік қызметшілердің факторлық-балдық шкалаға негізделген жаңа еңбекақы жүйесін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енгізуге бағыттау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орталықтағы және өңірлердегі мемлекеттік қызметшілер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жалақысының диспропорциясын қысқартады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, сондай-ақ жұмыстың сипаты мен тиімділігі ескерілетін болады.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Үкіметке Мемлекеттік қызмет істері агенттігімен бірлесіп, 2018 жылы орталық және жергілікті мемлекеттік органдарда осы жүйені енгізудің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пилоттық жобаларын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іске асыруды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тапсырамын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Өңірлердегі мемлекеттік қызметтің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тиімділік әлеуетін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олардың экономикалық дербестігі мен жауапкершілігін арттыру арқылы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мейлінше толық ашу керек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Жалпы алғанда, өңірлік саясат өңірлердің шығындарын теңестіруден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жеке табыстарының өсімін ынталандыруға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бағытталуға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Атап айтқанда, бүгінде әлемдегі әрбір оныншы жұмыс орнын ашып отырған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сырттан келушілер туризмі мен ішкі туризм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кез келген өңір үшін перспективалық табыс көздерінің бірі болып саналады.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Үкімет виза мәселелерін жеңілдетуді, инфрақұрылымды дамытуды және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туризм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саласындағы кедергілерді алып тастауды қамтитын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кешенді шаралар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қабылдауы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Фискальды орталықсыздандыру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аясында шағын және орта бизнестен түсетін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корпоративті табыс салығын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өңірлік бюджеттерге беру мәселесін шешу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2018 жылдың 1 қаңтарынан бастап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2 мыңнан астам адам тұратын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</w:t>
      </w:r>
      <w:r w:rsidRPr="003C7F6F">
        <w:rPr>
          <w:rFonts w:ascii="Times New Roman" w:hAnsi="Times New Roman" w:cs="Times New Roman"/>
          <w:i/>
          <w:iCs/>
          <w:sz w:val="31"/>
          <w:lang w:eastAsia="ru-RU"/>
        </w:rPr>
        <w:t>аудандық маңызы бар қалалар, ауылдар мен ауылдық округтерде 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жергілікті өзін-өзі басқарудың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дербес бюджеті мен коммуналдық меншігін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енгізу заң жүзінде белгіленген.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2020 жылдан бастап бұл нормалар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барлық елді мекендерде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күшіне енеді.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Салықтық және салықтан тыс басқа да түсімдердің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7 түрі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, сондай-ақ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шығындардың 19 бағыты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ауыл бюджетіне берілді.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жергілікті маңызы бар мәселелерді шешу үшін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халықты тартуға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мүмкіндік береді.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Сонымен қатар мемлекеттік органдар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нақты уақыт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және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жедел жауап беру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режімінде азаматтардың ескертпелері мен ұсыныстарын есепке алу үшін заманауи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цифрлық технологияларды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қолдануға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Мемлекет пен компаниялар жаңа технологияларды енгізе отырып, өз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ақпараттық жүйелері мен құрылғыларының берік қорғалуын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қамтамасыз етуі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Бүгінде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киберқауіпсіздік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ұғымы тек ақпаратты ғана емес, сонымен қатар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өндірістік және инфрақұрылымдық нысандарды басқару тетігін қорғау дегенді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де білдіреді.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Осы және өзге де шаралар Қазақстанның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Ұлттық қауіпсіздік стратегиясында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көрініс табуға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t>ТОҒЫЗЫНШЫ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. Жемқорлықпен күрес және заңның үстемдігі.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Жемқорлықтың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алдын алуға бағытталған күрес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жалғаса береді.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Көп жұмыс істеліп жатыр.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Соңғы 3 жылда ғана жоғары лауазымды шенеуніктер мен мемлекеттік компаниялардың басшыларын қоса алғанда, жемқорлық үшін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2,5 мыңнан астам адам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сотталды.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Осы уақыт ішінде олардың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17 миллиард теңге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көлемінде келтірген залалы өтелді.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Мемлекеттік органдардағы процестерді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, соның ішінде олардың халықпен және бизнеспен қарым-қатынасын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цифрландыру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маңызды болып саналады.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Атап айтқанда, азаматтар өз өтініштерінің қалай қарастырылып жатқанын көріп, дер кезінде сапалы жауап алуға тиіс.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Сот және құқық қорғау жүйелерін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 институционалды тұрғыдан өзгерту 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жүзеге асырылуда.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lastRenderedPageBreak/>
        <w:t>Заңнамаға қылмыстық процестегі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азаматтардың құқықтарын қорғау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ісін күшейтуді,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оның әсіре қатаңдығын бәсеңдетуді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көздейтін нормалар енгізілді.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Адвокаттардың құқықтары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мен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сотқа дейінгі сатыдағы сот бақылауының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аясы кеңейді.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Құқық қорғау органдарының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өкілеттігі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мен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жауапкершілік шегі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айқындалды.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Азаматтардың конституциялық құқықтарына кепілдікті нығайту, құқық үстемдігін қамтамасыз ету, құқық қорғау қызметін ізгілендіру жұмыстарын жалғастыру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Қоғамдық тәртіпті сақтау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және қауіпсіздікті қамтамасыз ету саласында көшелерде және адам көп жиналатын қоғамдық орындарда бейнебақылау жүргізетін, азаматтарды анықтайтын және жол қозғалысын қадағалайтын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интеллектуалды жүйелерді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белсенді түрде енгізу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u w:val="single"/>
          <w:lang w:eastAsia="ru-RU"/>
        </w:rPr>
        <w:t>ОНЫНШЫ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. «Ақылды қалалар» «ақылды ұлт» үшін.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2018 жыл – елордамыз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Астананың 20 жылдығын атап өтетін мерейтойлы жыл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Бас қаламыздың қалыптасуы және Еуразияның маңызды даму орталықтарының қатарына қосылуы –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баршамыздың ортақ мақтанышымыз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Заманауи технологиялар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жылдам өсіп келе жатқан мегаполистің проблемаларын тиімді шешуге жол ашады.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«Смарт Сити» тұжырымдамасы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мен қалаға қоныс аударатын адамдардың құзыреттерін дамыту негізінде қалалық ортаны басқаруды кешенді түрде енгізу қажет.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Әлемде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инвесторлар үшін қалалар бәсекеге түседі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деген түсінік қалыптасты.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Олар елді емес, жайлы өмір сүріп, жұмыс істейтін қаланы таңдайды.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Сондықтан, Астананың тәжірибесі негізінде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«Смарт Сити» «эталонды» стандартын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қалыптастырып, Қазақстан қалалары арасында озық практиканы таратуды және тәжірибе алмасу ісін бастау керек.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«Ақылды қалалар» өңірлік дамудың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, инновацияны таратудың және еліміздің барлық аумағында тұрмыс сапасын арттырудың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локомотивтеріне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айналады.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Міне, алдымызда тұрған 10 міндет осы. Бұлар – түсінікті әрі айқын.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lastRenderedPageBreak/>
        <w:t>Қымбатты қазақстандықтар!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Біз саяси тұрақтылық пен қоғамдық келісімнің арқасында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экономикамызды, саясатымызды және санамызды жаңғыртуға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кірістік.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Технологиялық және инфрақұрылымдық тұрғыдан дамудың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жаңа кезеңіне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тың серпін берілді.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Конституциялық реформа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билік тармақтары арасындағы балансты  нақтылай түсті.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Біз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ұлттық сананы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жаңарту үдерісін бастадық.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Бұл базалық үш бағыт Қазақстан жаңғыруының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жүйелі үш тұғыры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болып саналады.</w:t>
      </w:r>
    </w:p>
    <w:p w:rsidR="003C7F6F" w:rsidRPr="003C7F6F" w:rsidRDefault="003C7F6F" w:rsidP="003C7F6F">
      <w:pPr>
        <w:pStyle w:val="aa"/>
        <w:rPr>
          <w:rFonts w:ascii="Times New Roman" w:hAnsi="Times New Roman" w:cs="Times New Roman"/>
          <w:sz w:val="31"/>
          <w:szCs w:val="31"/>
          <w:lang w:eastAsia="ru-RU"/>
        </w:rPr>
      </w:pPr>
      <w:r w:rsidRPr="003C7F6F">
        <w:rPr>
          <w:rFonts w:ascii="Times New Roman" w:hAnsi="Times New Roman" w:cs="Times New Roman"/>
          <w:sz w:val="31"/>
          <w:szCs w:val="31"/>
          <w:lang w:eastAsia="ru-RU"/>
        </w:rPr>
        <w:t>Біз жаңа заманға сай болу үшін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Төртінші өнеркәсіптік революция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 жағдайындағы </w:t>
      </w:r>
      <w:r w:rsidRPr="003C7F6F">
        <w:rPr>
          <w:rFonts w:ascii="Times New Roman" w:hAnsi="Times New Roman" w:cs="Times New Roman"/>
          <w:b/>
          <w:bCs/>
          <w:sz w:val="31"/>
          <w:lang w:eastAsia="ru-RU"/>
        </w:rPr>
        <w:t>тарихи өрлеу бастауында тұрған біртұтас ұлт болуымыз керек</w:t>
      </w:r>
      <w:r w:rsidRPr="003C7F6F">
        <w:rPr>
          <w:rFonts w:ascii="Times New Roman" w:hAnsi="Times New Roman" w:cs="Times New Roman"/>
          <w:sz w:val="31"/>
          <w:szCs w:val="31"/>
          <w:lang w:eastAsia="ru-RU"/>
        </w:rPr>
        <w:t>.</w:t>
      </w:r>
    </w:p>
    <w:p w:rsidR="009A3817" w:rsidRDefault="009A3817" w:rsidP="003C7F6F">
      <w:pPr>
        <w:pStyle w:val="aa"/>
      </w:pPr>
    </w:p>
    <w:sectPr w:rsidR="009A3817" w:rsidSect="009A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F5DE6"/>
    <w:multiLevelType w:val="multilevel"/>
    <w:tmpl w:val="03CA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defaultTabStop w:val="708"/>
  <w:characterSpacingControl w:val="doNotCompress"/>
  <w:compat/>
  <w:rsids>
    <w:rsidRoot w:val="003C7F6F"/>
    <w:rsid w:val="003C7F6F"/>
    <w:rsid w:val="009A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17"/>
  </w:style>
  <w:style w:type="paragraph" w:styleId="1">
    <w:name w:val="heading 1"/>
    <w:basedOn w:val="a"/>
    <w:link w:val="10"/>
    <w:uiPriority w:val="9"/>
    <w:qFormat/>
    <w:rsid w:val="003C7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7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3C7F6F"/>
  </w:style>
  <w:style w:type="character" w:styleId="a3">
    <w:name w:val="Hyperlink"/>
    <w:basedOn w:val="a0"/>
    <w:uiPriority w:val="99"/>
    <w:semiHidden/>
    <w:unhideWhenUsed/>
    <w:rsid w:val="003C7F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7F6F"/>
    <w:rPr>
      <w:color w:val="800080"/>
      <w:u w:val="single"/>
    </w:rPr>
  </w:style>
  <w:style w:type="character" w:customStyle="1" w:styleId="ya-share2badge">
    <w:name w:val="ya-share2__badge"/>
    <w:basedOn w:val="a0"/>
    <w:rsid w:val="003C7F6F"/>
  </w:style>
  <w:style w:type="character" w:customStyle="1" w:styleId="ya-share2icon">
    <w:name w:val="ya-share2__icon"/>
    <w:basedOn w:val="a0"/>
    <w:rsid w:val="003C7F6F"/>
  </w:style>
  <w:style w:type="character" w:customStyle="1" w:styleId="apple-converted-space">
    <w:name w:val="apple-converted-space"/>
    <w:basedOn w:val="a0"/>
    <w:rsid w:val="003C7F6F"/>
  </w:style>
  <w:style w:type="paragraph" w:styleId="a5">
    <w:name w:val="Normal (Web)"/>
    <w:basedOn w:val="a"/>
    <w:uiPriority w:val="99"/>
    <w:semiHidden/>
    <w:unhideWhenUsed/>
    <w:rsid w:val="003C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7F6F"/>
    <w:rPr>
      <w:b/>
      <w:bCs/>
    </w:rPr>
  </w:style>
  <w:style w:type="character" w:styleId="a7">
    <w:name w:val="Emphasis"/>
    <w:basedOn w:val="a0"/>
    <w:uiPriority w:val="20"/>
    <w:qFormat/>
    <w:rsid w:val="003C7F6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C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F6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C7F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0041">
          <w:marLeft w:val="0"/>
          <w:marRight w:val="0"/>
          <w:marTop w:val="409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4992">
          <w:marLeft w:val="0"/>
          <w:marRight w:val="0"/>
          <w:marTop w:val="4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5045</Words>
  <Characters>28762</Characters>
  <Application>Microsoft Office Word</Application>
  <DocSecurity>0</DocSecurity>
  <Lines>239</Lines>
  <Paragraphs>67</Paragraphs>
  <ScaleCrop>false</ScaleCrop>
  <Company>Microsoft</Company>
  <LinksUpToDate>false</LinksUpToDate>
  <CharactersWithSpaces>33740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2018-01-15T06:21:00Z</dcterms:created>
  <dcterms:modified xsi:type="dcterms:W3CDTF">2018-01-15T06:25:00Z</dcterms:modified>
</cp:coreProperties>
</file>